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CD7" w:rsidRDefault="00B41CD7" w:rsidP="00B41CD7">
      <w:pPr>
        <w:spacing w:after="0" w:line="240" w:lineRule="auto"/>
        <w:rPr>
          <w:rFonts w:eastAsia="Times New Roman" w:cs="Times New Roman"/>
          <w:color w:val="0B0C0C"/>
          <w:lang w:eastAsia="en-GB"/>
        </w:rPr>
      </w:pPr>
      <w:r>
        <w:rPr>
          <w:rFonts w:eastAsia="Times New Roman" w:cs="Times New Roman"/>
          <w:color w:val="0B0C0C"/>
          <w:lang w:eastAsia="en-GB"/>
        </w:rPr>
        <w:t>There are broadly three levels of vulnerability that we should consider:</w:t>
      </w:r>
    </w:p>
    <w:p w:rsidR="00B41CD7" w:rsidRPr="00B41CD7" w:rsidRDefault="00B41CD7" w:rsidP="00B41CD7">
      <w:pPr>
        <w:spacing w:after="0" w:line="240" w:lineRule="auto"/>
        <w:rPr>
          <w:rFonts w:eastAsia="Times New Roman" w:cs="Times New Roman"/>
          <w:color w:val="0B0C0C"/>
          <w:lang w:eastAsia="en-GB"/>
        </w:rPr>
      </w:pPr>
    </w:p>
    <w:p w:rsidR="00B41CD7" w:rsidRPr="00B41CD7" w:rsidRDefault="00B41CD7" w:rsidP="00B41CD7">
      <w:pPr>
        <w:spacing w:after="0" w:line="240" w:lineRule="auto"/>
        <w:rPr>
          <w:rFonts w:eastAsia="Times New Roman" w:cs="Times New Roman"/>
          <w:b/>
          <w:color w:val="0B0C0C"/>
          <w:lang w:eastAsia="en-GB"/>
        </w:rPr>
      </w:pPr>
      <w:r>
        <w:rPr>
          <w:rFonts w:eastAsia="Times New Roman" w:cs="Times New Roman"/>
          <w:b/>
          <w:color w:val="0B0C0C"/>
          <w:lang w:eastAsia="en-GB"/>
        </w:rPr>
        <w:t>Shielding (extremely vulnerable group)</w:t>
      </w:r>
    </w:p>
    <w:p w:rsidR="00B41CD7" w:rsidRDefault="00B41CD7" w:rsidP="00B41CD7">
      <w:pPr>
        <w:spacing w:after="0" w:line="240" w:lineRule="auto"/>
        <w:rPr>
          <w:rFonts w:eastAsia="Times New Roman" w:cs="Times New Roman"/>
          <w:color w:val="0B0C0C"/>
          <w:lang w:eastAsia="en-GB"/>
        </w:rPr>
      </w:pPr>
      <w:r>
        <w:rPr>
          <w:rFonts w:eastAsia="Times New Roman" w:cs="Times New Roman"/>
          <w:color w:val="0B0C0C"/>
          <w:lang w:eastAsia="en-GB"/>
        </w:rPr>
        <w:t xml:space="preserve">This is the group of about 1.5 million people nationally who have been written to and advised to avoid all contact for three months. </w:t>
      </w:r>
      <w:r w:rsidRPr="00B41CD7">
        <w:rPr>
          <w:rFonts w:eastAsia="Times New Roman" w:cs="Times New Roman"/>
          <w:color w:val="0B0C0C"/>
          <w:lang w:eastAsia="en-GB"/>
        </w:rPr>
        <w:t>People falling into this extremely vulnerable group include:</w:t>
      </w:r>
    </w:p>
    <w:p w:rsidR="00B41CD7" w:rsidRPr="00B41CD7" w:rsidRDefault="00B41CD7" w:rsidP="00B41CD7">
      <w:pPr>
        <w:spacing w:after="0" w:line="240" w:lineRule="auto"/>
        <w:rPr>
          <w:rFonts w:eastAsia="Times New Roman" w:cs="Times New Roman"/>
          <w:color w:val="0B0C0C"/>
          <w:lang w:eastAsia="en-GB"/>
        </w:rPr>
      </w:pPr>
    </w:p>
    <w:p w:rsidR="00B41CD7" w:rsidRPr="00B41CD7" w:rsidRDefault="00B41CD7" w:rsidP="00B41CD7">
      <w:pPr>
        <w:numPr>
          <w:ilvl w:val="0"/>
          <w:numId w:val="1"/>
        </w:numPr>
        <w:spacing w:after="0" w:line="240" w:lineRule="auto"/>
        <w:ind w:left="300"/>
        <w:rPr>
          <w:rFonts w:eastAsia="Times New Roman" w:cs="Times New Roman"/>
          <w:color w:val="0B0C0C"/>
          <w:lang w:eastAsia="en-GB"/>
        </w:rPr>
      </w:pPr>
      <w:r w:rsidRPr="00B41CD7">
        <w:rPr>
          <w:rFonts w:eastAsia="Times New Roman" w:cs="Times New Roman"/>
          <w:color w:val="0B0C0C"/>
          <w:lang w:eastAsia="en-GB"/>
        </w:rPr>
        <w:t>Solid organ transplant recipients.</w:t>
      </w:r>
    </w:p>
    <w:p w:rsidR="00B41CD7" w:rsidRPr="00B41CD7" w:rsidRDefault="00B41CD7" w:rsidP="00B41CD7">
      <w:pPr>
        <w:numPr>
          <w:ilvl w:val="0"/>
          <w:numId w:val="1"/>
        </w:numPr>
        <w:spacing w:after="0" w:line="240" w:lineRule="auto"/>
        <w:ind w:left="300"/>
        <w:rPr>
          <w:rFonts w:eastAsia="Times New Roman" w:cs="Times New Roman"/>
          <w:color w:val="0B0C0C"/>
          <w:lang w:eastAsia="en-GB"/>
        </w:rPr>
      </w:pPr>
      <w:r w:rsidRPr="00B41CD7">
        <w:rPr>
          <w:rFonts w:eastAsia="Times New Roman" w:cs="Times New Roman"/>
          <w:color w:val="0B0C0C"/>
          <w:lang w:eastAsia="en-GB"/>
        </w:rPr>
        <w:t xml:space="preserve">People with specific cancers: </w:t>
      </w:r>
    </w:p>
    <w:p w:rsidR="00B41CD7" w:rsidRPr="00B41CD7" w:rsidRDefault="00B41CD7" w:rsidP="00B41CD7">
      <w:pPr>
        <w:numPr>
          <w:ilvl w:val="1"/>
          <w:numId w:val="1"/>
        </w:numPr>
        <w:spacing w:after="0" w:line="240" w:lineRule="auto"/>
        <w:ind w:left="600"/>
        <w:rPr>
          <w:rFonts w:eastAsia="Times New Roman" w:cs="Times New Roman"/>
          <w:color w:val="0B0C0C"/>
          <w:lang w:eastAsia="en-GB"/>
        </w:rPr>
      </w:pPr>
      <w:r w:rsidRPr="00B41CD7">
        <w:rPr>
          <w:rFonts w:eastAsia="Times New Roman" w:cs="Times New Roman"/>
          <w:color w:val="0B0C0C"/>
          <w:lang w:eastAsia="en-GB"/>
        </w:rPr>
        <w:t>people with cancer who are undergoing active chemotherapy</w:t>
      </w:r>
    </w:p>
    <w:p w:rsidR="00B41CD7" w:rsidRPr="00B41CD7" w:rsidRDefault="00B41CD7" w:rsidP="00B41CD7">
      <w:pPr>
        <w:numPr>
          <w:ilvl w:val="1"/>
          <w:numId w:val="1"/>
        </w:numPr>
        <w:spacing w:after="0" w:line="240" w:lineRule="auto"/>
        <w:ind w:left="600"/>
        <w:rPr>
          <w:rFonts w:eastAsia="Times New Roman" w:cs="Times New Roman"/>
          <w:color w:val="0B0C0C"/>
          <w:lang w:eastAsia="en-GB"/>
        </w:rPr>
      </w:pPr>
      <w:r w:rsidRPr="00B41CD7">
        <w:rPr>
          <w:rFonts w:eastAsia="Times New Roman" w:cs="Times New Roman"/>
          <w:color w:val="0B0C0C"/>
          <w:lang w:eastAsia="en-GB"/>
        </w:rPr>
        <w:t>people with lung cancer who are undergoing radical radiotherapy</w:t>
      </w:r>
    </w:p>
    <w:p w:rsidR="00B41CD7" w:rsidRPr="00B41CD7" w:rsidRDefault="00B41CD7" w:rsidP="00B41CD7">
      <w:pPr>
        <w:numPr>
          <w:ilvl w:val="1"/>
          <w:numId w:val="1"/>
        </w:numPr>
        <w:spacing w:after="0" w:line="240" w:lineRule="auto"/>
        <w:ind w:left="600"/>
        <w:rPr>
          <w:rFonts w:eastAsia="Times New Roman" w:cs="Times New Roman"/>
          <w:color w:val="0B0C0C"/>
          <w:lang w:eastAsia="en-GB"/>
        </w:rPr>
      </w:pPr>
      <w:r w:rsidRPr="00B41CD7">
        <w:rPr>
          <w:rFonts w:eastAsia="Times New Roman" w:cs="Times New Roman"/>
          <w:color w:val="0B0C0C"/>
          <w:lang w:eastAsia="en-GB"/>
        </w:rPr>
        <w:t>people with cancers of the blood or bone marrow such as leukaemia, lymphoma or myeloma who are at any stage of treatment</w:t>
      </w:r>
    </w:p>
    <w:p w:rsidR="00B41CD7" w:rsidRPr="00B41CD7" w:rsidRDefault="00B41CD7" w:rsidP="00B41CD7">
      <w:pPr>
        <w:numPr>
          <w:ilvl w:val="1"/>
          <w:numId w:val="1"/>
        </w:numPr>
        <w:spacing w:after="0" w:line="240" w:lineRule="auto"/>
        <w:ind w:left="600"/>
        <w:rPr>
          <w:rFonts w:eastAsia="Times New Roman" w:cs="Times New Roman"/>
          <w:color w:val="0B0C0C"/>
          <w:lang w:eastAsia="en-GB"/>
        </w:rPr>
      </w:pPr>
      <w:r w:rsidRPr="00B41CD7">
        <w:rPr>
          <w:rFonts w:eastAsia="Times New Roman" w:cs="Times New Roman"/>
          <w:color w:val="0B0C0C"/>
          <w:lang w:eastAsia="en-GB"/>
        </w:rPr>
        <w:t>people having immunotherapy or other continuing antibody treatments for cancer</w:t>
      </w:r>
    </w:p>
    <w:p w:rsidR="00B41CD7" w:rsidRPr="00B41CD7" w:rsidRDefault="00B41CD7" w:rsidP="00B41CD7">
      <w:pPr>
        <w:numPr>
          <w:ilvl w:val="1"/>
          <w:numId w:val="1"/>
        </w:numPr>
        <w:spacing w:after="0" w:line="240" w:lineRule="auto"/>
        <w:ind w:left="600"/>
        <w:rPr>
          <w:rFonts w:eastAsia="Times New Roman" w:cs="Times New Roman"/>
          <w:color w:val="0B0C0C"/>
          <w:lang w:eastAsia="en-GB"/>
        </w:rPr>
      </w:pPr>
      <w:r w:rsidRPr="00B41CD7">
        <w:rPr>
          <w:rFonts w:eastAsia="Times New Roman" w:cs="Times New Roman"/>
          <w:color w:val="0B0C0C"/>
          <w:lang w:eastAsia="en-GB"/>
        </w:rPr>
        <w:t>people having other targeted cancer treatments which can affect the immune system, such as protein kinase inhibitors or PARP inhibitors</w:t>
      </w:r>
    </w:p>
    <w:p w:rsidR="00B41CD7" w:rsidRPr="00B41CD7" w:rsidRDefault="00B41CD7" w:rsidP="00B41CD7">
      <w:pPr>
        <w:numPr>
          <w:ilvl w:val="1"/>
          <w:numId w:val="1"/>
        </w:numPr>
        <w:spacing w:after="0" w:line="240" w:lineRule="auto"/>
        <w:ind w:left="600"/>
        <w:rPr>
          <w:rFonts w:eastAsia="Times New Roman" w:cs="Times New Roman"/>
          <w:color w:val="0B0C0C"/>
          <w:lang w:eastAsia="en-GB"/>
        </w:rPr>
      </w:pPr>
      <w:r w:rsidRPr="00B41CD7">
        <w:rPr>
          <w:rFonts w:eastAsia="Times New Roman" w:cs="Times New Roman"/>
          <w:color w:val="0B0C0C"/>
          <w:lang w:eastAsia="en-GB"/>
        </w:rPr>
        <w:t>people who have had bone marrow or stem cell transplants in the last 6 months, or who are still taking immunosuppression drugs</w:t>
      </w:r>
    </w:p>
    <w:p w:rsidR="00B41CD7" w:rsidRPr="00B41CD7" w:rsidRDefault="00B41CD7" w:rsidP="00B41CD7">
      <w:pPr>
        <w:numPr>
          <w:ilvl w:val="0"/>
          <w:numId w:val="1"/>
        </w:numPr>
        <w:spacing w:after="0" w:line="240" w:lineRule="auto"/>
        <w:ind w:left="300"/>
        <w:rPr>
          <w:rFonts w:eastAsia="Times New Roman" w:cs="Times New Roman"/>
          <w:color w:val="0B0C0C"/>
          <w:lang w:eastAsia="en-GB"/>
        </w:rPr>
      </w:pPr>
      <w:r w:rsidRPr="00B41CD7">
        <w:rPr>
          <w:rFonts w:eastAsia="Times New Roman" w:cs="Times New Roman"/>
          <w:color w:val="0B0C0C"/>
          <w:lang w:eastAsia="en-GB"/>
        </w:rPr>
        <w:t>People with severe respiratory conditions including all cystic fibrosis, severe asthma and severe COPD.</w:t>
      </w:r>
    </w:p>
    <w:p w:rsidR="00B41CD7" w:rsidRPr="00B41CD7" w:rsidRDefault="00B41CD7" w:rsidP="00B41CD7">
      <w:pPr>
        <w:numPr>
          <w:ilvl w:val="0"/>
          <w:numId w:val="1"/>
        </w:numPr>
        <w:spacing w:after="0" w:line="240" w:lineRule="auto"/>
        <w:ind w:left="300"/>
        <w:rPr>
          <w:rFonts w:eastAsia="Times New Roman" w:cs="Times New Roman"/>
          <w:color w:val="0B0C0C"/>
          <w:lang w:eastAsia="en-GB"/>
        </w:rPr>
      </w:pPr>
      <w:r w:rsidRPr="00B41CD7">
        <w:rPr>
          <w:rFonts w:eastAsia="Times New Roman" w:cs="Times New Roman"/>
          <w:color w:val="0B0C0C"/>
          <w:lang w:eastAsia="en-GB"/>
        </w:rPr>
        <w:t>People with rare diseases and inborn errors of metabolism that significantly increase the risk of infections (such as SCID, homozygous sickle cell).</w:t>
      </w:r>
    </w:p>
    <w:p w:rsidR="00B41CD7" w:rsidRPr="00B41CD7" w:rsidRDefault="00B41CD7" w:rsidP="00B41CD7">
      <w:pPr>
        <w:numPr>
          <w:ilvl w:val="0"/>
          <w:numId w:val="1"/>
        </w:numPr>
        <w:spacing w:after="0" w:line="240" w:lineRule="auto"/>
        <w:ind w:left="300"/>
        <w:rPr>
          <w:rFonts w:eastAsia="Times New Roman" w:cs="Times New Roman"/>
          <w:color w:val="0B0C0C"/>
          <w:lang w:eastAsia="en-GB"/>
        </w:rPr>
      </w:pPr>
      <w:r w:rsidRPr="00B41CD7">
        <w:rPr>
          <w:rFonts w:eastAsia="Times New Roman" w:cs="Times New Roman"/>
          <w:color w:val="0B0C0C"/>
          <w:lang w:eastAsia="en-GB"/>
        </w:rPr>
        <w:t>People on immunosuppression therapies sufficient to significantly increase risk of infection.</w:t>
      </w:r>
    </w:p>
    <w:p w:rsidR="00B41CD7" w:rsidRDefault="00B41CD7" w:rsidP="00B41CD7">
      <w:pPr>
        <w:numPr>
          <w:ilvl w:val="0"/>
          <w:numId w:val="1"/>
        </w:numPr>
        <w:spacing w:after="0" w:line="240" w:lineRule="auto"/>
        <w:ind w:left="300"/>
        <w:rPr>
          <w:rFonts w:eastAsia="Times New Roman" w:cs="Times New Roman"/>
          <w:color w:val="0B0C0C"/>
          <w:lang w:eastAsia="en-GB"/>
        </w:rPr>
      </w:pPr>
      <w:r w:rsidRPr="00B41CD7">
        <w:rPr>
          <w:rFonts w:eastAsia="Times New Roman" w:cs="Times New Roman"/>
          <w:color w:val="0B0C0C"/>
          <w:lang w:eastAsia="en-GB"/>
        </w:rPr>
        <w:t>Women who are pregnant with significant heart disease, congenital or acquired.</w:t>
      </w:r>
    </w:p>
    <w:p w:rsidR="00B41CD7" w:rsidRDefault="00B41CD7" w:rsidP="00B41CD7">
      <w:pPr>
        <w:spacing w:after="0" w:line="240" w:lineRule="auto"/>
        <w:ind w:left="-60"/>
        <w:rPr>
          <w:rFonts w:eastAsia="Times New Roman" w:cs="Times New Roman"/>
          <w:color w:val="0B0C0C"/>
          <w:lang w:eastAsia="en-GB"/>
        </w:rPr>
      </w:pPr>
    </w:p>
    <w:p w:rsidR="00B41CD7" w:rsidRDefault="00B41CD7" w:rsidP="00B41CD7">
      <w:pPr>
        <w:spacing w:after="0" w:line="240" w:lineRule="auto"/>
        <w:ind w:left="-60"/>
        <w:rPr>
          <w:rFonts w:eastAsia="Times New Roman" w:cs="Times New Roman"/>
          <w:color w:val="0B0C0C"/>
          <w:lang w:eastAsia="en-GB"/>
        </w:rPr>
      </w:pPr>
      <w:r>
        <w:rPr>
          <w:rFonts w:eastAsia="Times New Roman" w:cs="Times New Roman"/>
          <w:color w:val="0B0C0C"/>
          <w:lang w:eastAsia="en-GB"/>
        </w:rPr>
        <w:t xml:space="preserve">These people should be known to us via the local hubs that </w:t>
      </w:r>
      <w:r w:rsidR="006E1C9D">
        <w:rPr>
          <w:rFonts w:eastAsia="Times New Roman" w:cs="Times New Roman"/>
          <w:color w:val="0B0C0C"/>
          <w:lang w:eastAsia="en-GB"/>
        </w:rPr>
        <w:t>were established on Monday and are eligible for national support as well as any local support that may be available.</w:t>
      </w:r>
    </w:p>
    <w:p w:rsidR="00B41CD7" w:rsidRDefault="00B41CD7" w:rsidP="00B41CD7">
      <w:pPr>
        <w:spacing w:after="0" w:line="240" w:lineRule="auto"/>
        <w:ind w:left="-60"/>
        <w:rPr>
          <w:rFonts w:eastAsia="Times New Roman" w:cs="Times New Roman"/>
          <w:color w:val="0B0C0C"/>
          <w:lang w:eastAsia="en-GB"/>
        </w:rPr>
      </w:pPr>
    </w:p>
    <w:p w:rsidR="00B41CD7" w:rsidRDefault="00B41CD7" w:rsidP="00B41CD7">
      <w:pPr>
        <w:spacing w:after="0" w:line="240" w:lineRule="auto"/>
        <w:ind w:left="-60"/>
        <w:rPr>
          <w:rFonts w:eastAsia="Times New Roman" w:cs="Times New Roman"/>
          <w:color w:val="0B0C0C"/>
          <w:lang w:eastAsia="en-GB"/>
        </w:rPr>
      </w:pPr>
      <w:r>
        <w:rPr>
          <w:rFonts w:eastAsia="Times New Roman" w:cs="Times New Roman"/>
          <w:b/>
          <w:color w:val="0B0C0C"/>
          <w:lang w:eastAsia="en-GB"/>
        </w:rPr>
        <w:t>Increased vulnerability</w:t>
      </w:r>
    </w:p>
    <w:p w:rsidR="00B41CD7" w:rsidRDefault="00B41CD7" w:rsidP="006E1C9D">
      <w:pPr>
        <w:spacing w:after="0" w:line="240" w:lineRule="auto"/>
        <w:ind w:left="-60"/>
        <w:rPr>
          <w:rFonts w:eastAsia="Times New Roman" w:cs="Times New Roman"/>
          <w:color w:val="0B0C0C"/>
          <w:lang w:eastAsia="en-GB"/>
        </w:rPr>
      </w:pPr>
      <w:r>
        <w:rPr>
          <w:rFonts w:eastAsia="Times New Roman" w:cs="Times New Roman"/>
          <w:color w:val="0B0C0C"/>
          <w:lang w:eastAsia="en-GB"/>
        </w:rPr>
        <w:t xml:space="preserve">Nationally this group isn’t really being talked about any more because the guidance for them is no longer different for the general population. Until “lock down” began formally, </w:t>
      </w:r>
      <w:r w:rsidR="006E1C9D">
        <w:rPr>
          <w:rFonts w:eastAsia="Times New Roman" w:cs="Times New Roman"/>
          <w:color w:val="0B0C0C"/>
          <w:lang w:eastAsia="en-GB"/>
        </w:rPr>
        <w:t>guidance for vulnerable groups suggested self-isolating where possible, whereas for everyone else the recommendation was social distancing. Since lock down, effectively self-isolation now applies to everyone. However the groups that could still be categorised as being more vulnerable include:</w:t>
      </w:r>
    </w:p>
    <w:p w:rsidR="006E1C9D" w:rsidRPr="006E1C9D" w:rsidRDefault="006E1C9D" w:rsidP="006E1C9D">
      <w:pPr>
        <w:spacing w:after="0" w:line="240" w:lineRule="auto"/>
        <w:ind w:left="-60"/>
        <w:rPr>
          <w:rFonts w:eastAsia="Times New Roman" w:cs="Times New Roman"/>
          <w:color w:val="0B0C0C"/>
          <w:lang w:eastAsia="en-GB"/>
        </w:rPr>
      </w:pPr>
    </w:p>
    <w:p w:rsidR="006E1C9D" w:rsidRPr="006E1C9D" w:rsidRDefault="006E1C9D" w:rsidP="006E1C9D">
      <w:pPr>
        <w:pStyle w:val="ListParagraph"/>
        <w:numPr>
          <w:ilvl w:val="0"/>
          <w:numId w:val="2"/>
        </w:numPr>
        <w:spacing w:after="0" w:line="240" w:lineRule="auto"/>
        <w:rPr>
          <w:rFonts w:cs="Arial"/>
          <w:color w:val="333333"/>
        </w:rPr>
      </w:pPr>
      <w:r w:rsidRPr="006E1C9D">
        <w:rPr>
          <w:rFonts w:eastAsia="Times New Roman" w:cs="Times New Roman"/>
          <w:color w:val="0B0C0C"/>
          <w:lang w:eastAsia="en-GB"/>
        </w:rPr>
        <w:t xml:space="preserve">Those with long term </w:t>
      </w:r>
      <w:r w:rsidRPr="006E1C9D">
        <w:rPr>
          <w:rFonts w:cs="Arial"/>
          <w:color w:val="333333"/>
        </w:rPr>
        <w:t>conditions such as heart disease, lung disease, diabetes, asthma and cancer.</w:t>
      </w:r>
      <w:r w:rsidRPr="006E1C9D">
        <w:rPr>
          <w:rFonts w:cs="Arial"/>
          <w:color w:val="333333"/>
        </w:rPr>
        <w:t xml:space="preserve"> </w:t>
      </w:r>
    </w:p>
    <w:p w:rsidR="006E1C9D" w:rsidRPr="006E1C9D" w:rsidRDefault="006E1C9D" w:rsidP="006E1C9D">
      <w:pPr>
        <w:pStyle w:val="ListParagraph"/>
        <w:numPr>
          <w:ilvl w:val="0"/>
          <w:numId w:val="2"/>
        </w:numPr>
        <w:spacing w:after="0" w:line="240" w:lineRule="auto"/>
        <w:rPr>
          <w:rFonts w:cs="Arial"/>
          <w:color w:val="333333"/>
        </w:rPr>
      </w:pPr>
      <w:r w:rsidRPr="006E1C9D">
        <w:rPr>
          <w:rFonts w:cs="Arial"/>
          <w:color w:val="333333"/>
        </w:rPr>
        <w:t>People undergoing treatment for autoimmune health conditions such as HIV and AIDS, rheumatoid arthritis, multiple sclerosis and inflammatory bowel disease.</w:t>
      </w:r>
    </w:p>
    <w:p w:rsidR="006E1C9D" w:rsidRPr="006E1C9D" w:rsidRDefault="006E1C9D" w:rsidP="006E1C9D">
      <w:pPr>
        <w:pStyle w:val="ListParagraph"/>
        <w:numPr>
          <w:ilvl w:val="0"/>
          <w:numId w:val="2"/>
        </w:numPr>
        <w:spacing w:after="0" w:line="240" w:lineRule="auto"/>
        <w:rPr>
          <w:rFonts w:cs="Arial"/>
          <w:color w:val="333333"/>
        </w:rPr>
      </w:pPr>
      <w:r w:rsidRPr="006E1C9D">
        <w:rPr>
          <w:rFonts w:cs="Arial"/>
          <w:color w:val="333333"/>
        </w:rPr>
        <w:t>Pr</w:t>
      </w:r>
      <w:r w:rsidRPr="006E1C9D">
        <w:rPr>
          <w:rFonts w:cs="Arial"/>
          <w:color w:val="333333"/>
        </w:rPr>
        <w:t>egnant women</w:t>
      </w:r>
      <w:r>
        <w:rPr>
          <w:rFonts w:cs="Arial"/>
          <w:color w:val="333333"/>
        </w:rPr>
        <w:t>.</w:t>
      </w:r>
    </w:p>
    <w:p w:rsidR="006E1C9D" w:rsidRDefault="006E1C9D" w:rsidP="006E1C9D">
      <w:pPr>
        <w:pStyle w:val="ListParagraph"/>
        <w:numPr>
          <w:ilvl w:val="0"/>
          <w:numId w:val="2"/>
        </w:numPr>
        <w:spacing w:after="0" w:line="240" w:lineRule="auto"/>
        <w:rPr>
          <w:rFonts w:cs="Arial"/>
          <w:color w:val="333333"/>
        </w:rPr>
      </w:pPr>
      <w:r w:rsidRPr="006E1C9D">
        <w:rPr>
          <w:rFonts w:cs="Arial"/>
          <w:color w:val="333333"/>
        </w:rPr>
        <w:t xml:space="preserve">People over </w:t>
      </w:r>
      <w:r>
        <w:rPr>
          <w:rFonts w:cs="Arial"/>
          <w:color w:val="333333"/>
        </w:rPr>
        <w:t xml:space="preserve">the age of </w:t>
      </w:r>
      <w:r w:rsidRPr="006E1C9D">
        <w:rPr>
          <w:rFonts w:cs="Arial"/>
          <w:color w:val="333333"/>
        </w:rPr>
        <w:t>70</w:t>
      </w:r>
      <w:r>
        <w:rPr>
          <w:rFonts w:cs="Arial"/>
          <w:color w:val="333333"/>
        </w:rPr>
        <w:t>.</w:t>
      </w:r>
      <w:r w:rsidRPr="006E1C9D">
        <w:rPr>
          <w:rFonts w:cs="Arial"/>
          <w:color w:val="333333"/>
        </w:rPr>
        <w:t xml:space="preserve"> </w:t>
      </w:r>
    </w:p>
    <w:p w:rsidR="006E1C9D" w:rsidRDefault="006E1C9D" w:rsidP="006E1C9D">
      <w:pPr>
        <w:spacing w:after="0" w:line="240" w:lineRule="auto"/>
        <w:rPr>
          <w:rFonts w:cs="Arial"/>
          <w:color w:val="333333"/>
        </w:rPr>
      </w:pPr>
    </w:p>
    <w:p w:rsidR="006E1C9D" w:rsidRPr="006E1C9D" w:rsidRDefault="006E1C9D" w:rsidP="006E1C9D">
      <w:pPr>
        <w:spacing w:after="0" w:line="240" w:lineRule="auto"/>
        <w:rPr>
          <w:rFonts w:cs="Arial"/>
          <w:color w:val="333333"/>
        </w:rPr>
      </w:pPr>
      <w:r>
        <w:rPr>
          <w:rFonts w:cs="Arial"/>
          <w:color w:val="333333"/>
        </w:rPr>
        <w:t>It is reasonable to assume that these groups are still increasingly vulnerable and that extra care should be taken to maintain hygiene and physical distancing when working with them if possible – though this is for their protection, not for the protection of staff. Where staff members fall into one of these categories measures should already be in place to enable them to work safely.</w:t>
      </w:r>
    </w:p>
    <w:p w:rsidR="00950F58" w:rsidRDefault="00950F58" w:rsidP="006E1C9D">
      <w:pPr>
        <w:spacing w:after="0" w:line="240" w:lineRule="auto"/>
      </w:pPr>
    </w:p>
    <w:p w:rsidR="006E1C9D" w:rsidRDefault="006E1C9D" w:rsidP="006E1C9D">
      <w:pPr>
        <w:spacing w:after="0" w:line="240" w:lineRule="auto"/>
      </w:pPr>
      <w:r>
        <w:rPr>
          <w:b/>
        </w:rPr>
        <w:t>General population</w:t>
      </w:r>
    </w:p>
    <w:p w:rsidR="006E1C9D" w:rsidRPr="006E1C9D" w:rsidRDefault="006E1C9D" w:rsidP="006E1C9D">
      <w:pPr>
        <w:spacing w:after="0" w:line="240" w:lineRule="auto"/>
      </w:pPr>
      <w:r>
        <w:t>While not at any increased risk, there is still a degree of risk to the general population. However the national policy of self-isolation and social distancing that applies to everyone is mainly there to</w:t>
      </w:r>
      <w:r w:rsidR="006C00BB">
        <w:t xml:space="preserve"> reduce the spread of the virus through the community to protect those with most or increased </w:t>
      </w:r>
      <w:r w:rsidR="006C00BB">
        <w:lastRenderedPageBreak/>
        <w:t>vulnerability. It remains the case that the vast majority of people who contract the virus will experience a relatively mild illness.</w:t>
      </w:r>
      <w:bookmarkStart w:id="0" w:name="_GoBack"/>
      <w:bookmarkEnd w:id="0"/>
    </w:p>
    <w:sectPr w:rsidR="006E1C9D" w:rsidRPr="006E1C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D124D"/>
    <w:multiLevelType w:val="hybridMultilevel"/>
    <w:tmpl w:val="83EA4B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A50609A"/>
    <w:multiLevelType w:val="multilevel"/>
    <w:tmpl w:val="8D96153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CD7"/>
    <w:rsid w:val="006C00BB"/>
    <w:rsid w:val="006E1C9D"/>
    <w:rsid w:val="00950F58"/>
    <w:rsid w:val="00B41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5F17"/>
  <w15:chartTrackingRefBased/>
  <w15:docId w15:val="{7D974ED9-ACD8-45A9-9FE5-5D652676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C9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E1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67345">
      <w:bodyDiv w:val="1"/>
      <w:marLeft w:val="0"/>
      <w:marRight w:val="0"/>
      <w:marTop w:val="0"/>
      <w:marBottom w:val="0"/>
      <w:divBdr>
        <w:top w:val="none" w:sz="0" w:space="0" w:color="auto"/>
        <w:left w:val="none" w:sz="0" w:space="0" w:color="auto"/>
        <w:bottom w:val="none" w:sz="0" w:space="0" w:color="auto"/>
        <w:right w:val="none" w:sz="0" w:space="0" w:color="auto"/>
      </w:divBdr>
    </w:div>
    <w:div w:id="17949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Colin</dc:creator>
  <cp:keywords/>
  <dc:description/>
  <cp:lastModifiedBy>Cox, Colin</cp:lastModifiedBy>
  <cp:revision>1</cp:revision>
  <dcterms:created xsi:type="dcterms:W3CDTF">2020-04-03T09:20:00Z</dcterms:created>
  <dcterms:modified xsi:type="dcterms:W3CDTF">2020-04-03T09:47:00Z</dcterms:modified>
</cp:coreProperties>
</file>