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27EB" w14:textId="77777777" w:rsidR="00652F72" w:rsidRPr="007C7B29" w:rsidRDefault="00014697" w:rsidP="00652F72">
      <w:pPr>
        <w:rPr>
          <w:rFonts w:ascii="Arial" w:hAnsi="Arial" w:cs="Arial"/>
          <w:b/>
          <w:color w:val="1F497D"/>
          <w:u w:val="single"/>
        </w:rPr>
      </w:pPr>
      <w:r w:rsidRPr="007C7B29">
        <w:rPr>
          <w:rFonts w:ascii="Arial" w:hAnsi="Arial" w:cs="Arial"/>
          <w:b/>
          <w:color w:val="1F497D"/>
          <w:u w:val="single"/>
        </w:rPr>
        <w:t xml:space="preserve">The </w:t>
      </w:r>
      <w:r w:rsidR="00652F72" w:rsidRPr="007C7B29">
        <w:rPr>
          <w:rFonts w:ascii="Arial" w:hAnsi="Arial" w:cs="Arial"/>
          <w:b/>
          <w:color w:val="1F497D"/>
          <w:u w:val="single"/>
        </w:rPr>
        <w:t xml:space="preserve">Cumbria </w:t>
      </w:r>
      <w:r w:rsidR="00EC66BA" w:rsidRPr="007C7B29">
        <w:rPr>
          <w:rFonts w:ascii="Arial" w:hAnsi="Arial" w:cs="Arial"/>
          <w:b/>
          <w:color w:val="1F497D"/>
          <w:u w:val="single"/>
        </w:rPr>
        <w:t xml:space="preserve">Local Government </w:t>
      </w:r>
      <w:r w:rsidR="00652F72" w:rsidRPr="007C7B29">
        <w:rPr>
          <w:rFonts w:ascii="Arial" w:hAnsi="Arial" w:cs="Arial"/>
          <w:b/>
          <w:color w:val="1F497D"/>
          <w:u w:val="single"/>
        </w:rPr>
        <w:t xml:space="preserve">Pension </w:t>
      </w:r>
      <w:r w:rsidR="00EC66BA" w:rsidRPr="007C7B29">
        <w:rPr>
          <w:rFonts w:ascii="Arial" w:hAnsi="Arial" w:cs="Arial"/>
          <w:b/>
          <w:color w:val="1F497D"/>
          <w:u w:val="single"/>
        </w:rPr>
        <w:t>Scheme</w:t>
      </w:r>
      <w:r w:rsidR="00652F72" w:rsidRPr="007C7B29">
        <w:rPr>
          <w:rFonts w:ascii="Arial" w:hAnsi="Arial" w:cs="Arial"/>
          <w:b/>
          <w:color w:val="1F497D"/>
          <w:u w:val="single"/>
        </w:rPr>
        <w:t xml:space="preserve"> </w:t>
      </w:r>
      <w:r w:rsidRPr="007C7B29">
        <w:rPr>
          <w:rFonts w:ascii="Arial" w:hAnsi="Arial" w:cs="Arial"/>
          <w:b/>
          <w:color w:val="1F497D"/>
          <w:u w:val="single"/>
        </w:rPr>
        <w:t>and its approach to</w:t>
      </w:r>
      <w:r w:rsidR="00652F72" w:rsidRPr="007C7B29">
        <w:rPr>
          <w:rFonts w:ascii="Arial" w:hAnsi="Arial" w:cs="Arial"/>
          <w:b/>
          <w:color w:val="1F497D"/>
          <w:u w:val="single"/>
        </w:rPr>
        <w:t xml:space="preserve"> Responsible Investing</w:t>
      </w:r>
    </w:p>
    <w:p w14:paraId="04323446" w14:textId="77777777" w:rsidR="00652F72" w:rsidRPr="007C7B29" w:rsidRDefault="00652F72" w:rsidP="00652F72">
      <w:pPr>
        <w:rPr>
          <w:rFonts w:ascii="Arial" w:hAnsi="Arial" w:cs="Arial"/>
          <w:b/>
          <w:color w:val="1F497D"/>
          <w:u w:val="single"/>
        </w:rPr>
      </w:pPr>
    </w:p>
    <w:p w14:paraId="150C0300" w14:textId="376ACA04" w:rsidR="00652F72" w:rsidRPr="007C7B29" w:rsidRDefault="00014697" w:rsidP="00DB39AA">
      <w:pPr>
        <w:jc w:val="both"/>
        <w:rPr>
          <w:rFonts w:ascii="Arial" w:hAnsi="Arial" w:cs="Arial"/>
        </w:rPr>
      </w:pPr>
      <w:r w:rsidRPr="007C7B29">
        <w:rPr>
          <w:rFonts w:ascii="Arial" w:hAnsi="Arial" w:cs="Arial"/>
          <w:b/>
        </w:rPr>
        <w:t xml:space="preserve">Background: </w:t>
      </w:r>
      <w:r w:rsidR="00652F72" w:rsidRPr="007C7B29">
        <w:rPr>
          <w:rFonts w:ascii="Arial" w:hAnsi="Arial" w:cs="Arial"/>
        </w:rPr>
        <w:t>The Cumbria Local Government Pension Scheme (“the Fund”) in</w:t>
      </w:r>
      <w:r w:rsidR="00184A47" w:rsidRPr="007C7B29">
        <w:rPr>
          <w:rFonts w:ascii="Arial" w:hAnsi="Arial" w:cs="Arial"/>
        </w:rPr>
        <w:t xml:space="preserve">vests assets totalling </w:t>
      </w:r>
      <w:r w:rsidR="002B776E">
        <w:rPr>
          <w:rFonts w:ascii="Arial" w:hAnsi="Arial" w:cs="Arial"/>
        </w:rPr>
        <w:t>approximately</w:t>
      </w:r>
      <w:r w:rsidR="00184A47" w:rsidRPr="007C7B29">
        <w:rPr>
          <w:rFonts w:ascii="Arial" w:hAnsi="Arial" w:cs="Arial"/>
        </w:rPr>
        <w:t xml:space="preserve"> £</w:t>
      </w:r>
      <w:r w:rsidR="002B776E">
        <w:rPr>
          <w:rFonts w:ascii="Arial" w:hAnsi="Arial" w:cs="Arial"/>
        </w:rPr>
        <w:t>3</w:t>
      </w:r>
      <w:r w:rsidR="00184A47" w:rsidRPr="007C7B29">
        <w:rPr>
          <w:rFonts w:ascii="Arial" w:hAnsi="Arial" w:cs="Arial"/>
        </w:rPr>
        <w:t>.</w:t>
      </w:r>
      <w:r w:rsidR="002B776E">
        <w:rPr>
          <w:rFonts w:ascii="Arial" w:hAnsi="Arial" w:cs="Arial"/>
        </w:rPr>
        <w:t>3</w:t>
      </w:r>
      <w:r w:rsidR="00652F72" w:rsidRPr="007C7B29">
        <w:rPr>
          <w:rFonts w:ascii="Arial" w:hAnsi="Arial" w:cs="Arial"/>
        </w:rPr>
        <w:t>bn</w:t>
      </w:r>
      <w:r w:rsidR="00D5456F">
        <w:rPr>
          <w:rFonts w:ascii="Arial" w:hAnsi="Arial" w:cs="Arial"/>
        </w:rPr>
        <w:t>*</w:t>
      </w:r>
      <w:r w:rsidR="00652F72" w:rsidRPr="007C7B29">
        <w:rPr>
          <w:rFonts w:ascii="Arial" w:hAnsi="Arial" w:cs="Arial"/>
        </w:rPr>
        <w:t xml:space="preserve"> to pay for the current and future pensions of its </w:t>
      </w:r>
      <w:r w:rsidR="00D5456F">
        <w:rPr>
          <w:rFonts w:ascii="Arial" w:hAnsi="Arial" w:cs="Arial"/>
        </w:rPr>
        <w:t>c.</w:t>
      </w:r>
      <w:r w:rsidR="00652F72" w:rsidRPr="007C7B29">
        <w:rPr>
          <w:rFonts w:ascii="Arial" w:hAnsi="Arial" w:cs="Arial"/>
        </w:rPr>
        <w:t>58,000</w:t>
      </w:r>
      <w:r w:rsidR="00D5456F">
        <w:rPr>
          <w:rFonts w:ascii="Arial" w:hAnsi="Arial" w:cs="Arial"/>
        </w:rPr>
        <w:t>*</w:t>
      </w:r>
      <w:r w:rsidR="00652F72" w:rsidRPr="007C7B29">
        <w:rPr>
          <w:rFonts w:ascii="Arial" w:hAnsi="Arial" w:cs="Arial"/>
        </w:rPr>
        <w:t xml:space="preserve"> members across 12</w:t>
      </w:r>
      <w:r w:rsidR="002B776E">
        <w:rPr>
          <w:rFonts w:ascii="Arial" w:hAnsi="Arial" w:cs="Arial"/>
        </w:rPr>
        <w:t>5</w:t>
      </w:r>
      <w:r w:rsidR="00D5456F">
        <w:rPr>
          <w:rFonts w:ascii="Arial" w:hAnsi="Arial" w:cs="Arial"/>
        </w:rPr>
        <w:t>*</w:t>
      </w:r>
      <w:r w:rsidR="00652F72" w:rsidRPr="007C7B29">
        <w:rPr>
          <w:rFonts w:ascii="Arial" w:hAnsi="Arial" w:cs="Arial"/>
        </w:rPr>
        <w:t xml:space="preserve"> employers within Cumbria.</w:t>
      </w:r>
      <w:r w:rsidR="00D5456F">
        <w:rPr>
          <w:rFonts w:ascii="Arial" w:hAnsi="Arial" w:cs="Arial"/>
        </w:rPr>
        <w:t xml:space="preserve"> </w:t>
      </w:r>
      <w:r w:rsidR="00D5456F" w:rsidRPr="00D5456F">
        <w:rPr>
          <w:rFonts w:ascii="Arial" w:hAnsi="Arial" w:cs="Arial"/>
          <w:i/>
          <w:iCs/>
        </w:rPr>
        <w:t xml:space="preserve">(* as </w:t>
      </w:r>
      <w:proofErr w:type="gramStart"/>
      <w:r w:rsidR="00D5456F" w:rsidRPr="00D5456F">
        <w:rPr>
          <w:rFonts w:ascii="Arial" w:hAnsi="Arial" w:cs="Arial"/>
          <w:i/>
          <w:iCs/>
        </w:rPr>
        <w:t>at</w:t>
      </w:r>
      <w:proofErr w:type="gramEnd"/>
      <w:r w:rsidR="00D5456F" w:rsidRPr="00D5456F">
        <w:rPr>
          <w:rFonts w:ascii="Arial" w:hAnsi="Arial" w:cs="Arial"/>
          <w:i/>
          <w:iCs/>
        </w:rPr>
        <w:t xml:space="preserve"> 30</w:t>
      </w:r>
      <w:r w:rsidR="00D5456F" w:rsidRPr="00D5456F">
        <w:rPr>
          <w:rFonts w:ascii="Arial" w:hAnsi="Arial" w:cs="Arial"/>
          <w:i/>
          <w:iCs/>
          <w:vertAlign w:val="superscript"/>
        </w:rPr>
        <w:t>th</w:t>
      </w:r>
      <w:r w:rsidR="00D5456F" w:rsidRPr="00D5456F">
        <w:rPr>
          <w:rFonts w:ascii="Arial" w:hAnsi="Arial" w:cs="Arial"/>
          <w:i/>
          <w:iCs/>
        </w:rPr>
        <w:t xml:space="preserve"> September 2021)</w:t>
      </w:r>
    </w:p>
    <w:p w14:paraId="08DBD8DE" w14:textId="77777777" w:rsidR="00184A47" w:rsidRPr="007C7B29" w:rsidRDefault="00184A47" w:rsidP="00DB39AA">
      <w:pPr>
        <w:jc w:val="both"/>
        <w:rPr>
          <w:rFonts w:ascii="Arial" w:hAnsi="Arial" w:cs="Arial"/>
        </w:rPr>
      </w:pPr>
    </w:p>
    <w:p w14:paraId="751B6329" w14:textId="77777777" w:rsidR="00ED7FF5" w:rsidRPr="007C7B29" w:rsidRDefault="00184A47" w:rsidP="009D24D2">
      <w:pPr>
        <w:jc w:val="both"/>
        <w:outlineLvl w:val="1"/>
        <w:rPr>
          <w:rFonts w:ascii="Arial" w:hAnsi="Arial" w:cs="Arial"/>
        </w:rPr>
      </w:pPr>
      <w:r w:rsidRPr="007C7B29">
        <w:rPr>
          <w:rFonts w:ascii="Arial" w:hAnsi="Arial" w:cs="Arial"/>
        </w:rPr>
        <w:t xml:space="preserve">The overarching objective of the Fund is to manage a sustainable and solvent Local Government pension fund on behalf of current and future members of the Fund.  </w:t>
      </w:r>
      <w:r w:rsidR="00ED7FF5" w:rsidRPr="007C7B29">
        <w:rPr>
          <w:rFonts w:ascii="Arial" w:hAnsi="Arial" w:cs="Arial"/>
        </w:rPr>
        <w:t xml:space="preserve">To achieve this objective </w:t>
      </w:r>
      <w:r w:rsidR="00652F72" w:rsidRPr="007C7B29">
        <w:rPr>
          <w:rFonts w:ascii="Arial" w:hAnsi="Arial" w:cs="Arial"/>
        </w:rPr>
        <w:t xml:space="preserve">the Fund </w:t>
      </w:r>
      <w:r w:rsidR="00686585" w:rsidRPr="007C7B29">
        <w:rPr>
          <w:rFonts w:ascii="Arial" w:hAnsi="Arial" w:cs="Arial"/>
        </w:rPr>
        <w:t xml:space="preserve">invests in a diverse range of assets and </w:t>
      </w:r>
      <w:r w:rsidR="00652F72" w:rsidRPr="007C7B29">
        <w:rPr>
          <w:rFonts w:ascii="Arial" w:hAnsi="Arial" w:cs="Arial"/>
        </w:rPr>
        <w:t>aims to maximise the</w:t>
      </w:r>
      <w:r w:rsidR="00686585" w:rsidRPr="007C7B29">
        <w:rPr>
          <w:rFonts w:ascii="Arial" w:hAnsi="Arial" w:cs="Arial"/>
        </w:rPr>
        <w:t xml:space="preserve"> long term</w:t>
      </w:r>
      <w:r w:rsidR="00652F72" w:rsidRPr="007C7B29">
        <w:rPr>
          <w:rFonts w:ascii="Arial" w:hAnsi="Arial" w:cs="Arial"/>
        </w:rPr>
        <w:t xml:space="preserve"> return on </w:t>
      </w:r>
      <w:r w:rsidR="00686585" w:rsidRPr="007C7B29">
        <w:rPr>
          <w:rFonts w:ascii="Arial" w:hAnsi="Arial" w:cs="Arial"/>
        </w:rPr>
        <w:t xml:space="preserve">these </w:t>
      </w:r>
      <w:r w:rsidR="00652F72" w:rsidRPr="007C7B29">
        <w:rPr>
          <w:rFonts w:ascii="Arial" w:hAnsi="Arial" w:cs="Arial"/>
        </w:rPr>
        <w:t>investments</w:t>
      </w:r>
      <w:r w:rsidR="00ED7FF5" w:rsidRPr="007C7B29">
        <w:rPr>
          <w:rFonts w:ascii="Arial" w:hAnsi="Arial" w:cs="Arial"/>
        </w:rPr>
        <w:t xml:space="preserve"> </w:t>
      </w:r>
      <w:r w:rsidR="00652F72" w:rsidRPr="007C7B29">
        <w:rPr>
          <w:rFonts w:ascii="Arial" w:hAnsi="Arial" w:cs="Arial"/>
        </w:rPr>
        <w:t xml:space="preserve">within acceptable risk parameters. </w:t>
      </w:r>
    </w:p>
    <w:p w14:paraId="36B803AC" w14:textId="77777777" w:rsidR="00ED7FF5" w:rsidRPr="007C7B29" w:rsidRDefault="00ED7FF5" w:rsidP="00DB39AA">
      <w:pPr>
        <w:jc w:val="both"/>
        <w:rPr>
          <w:rFonts w:ascii="Arial" w:hAnsi="Arial" w:cs="Arial"/>
        </w:rPr>
      </w:pPr>
    </w:p>
    <w:p w14:paraId="4C71A6FD" w14:textId="77777777" w:rsidR="00ED7FF5" w:rsidRPr="007C7B29" w:rsidRDefault="00014697" w:rsidP="00ED7FF5">
      <w:pPr>
        <w:jc w:val="both"/>
        <w:outlineLvl w:val="1"/>
        <w:rPr>
          <w:rFonts w:ascii="Arial" w:hAnsi="Arial" w:cs="Arial"/>
        </w:rPr>
      </w:pPr>
      <w:r w:rsidRPr="007C7B29">
        <w:rPr>
          <w:rFonts w:ascii="Arial" w:hAnsi="Arial" w:cs="Arial"/>
          <w:b/>
        </w:rPr>
        <w:t>The Fund’s approach to Responsible Investing (RI)</w:t>
      </w:r>
      <w:r w:rsidRPr="007C7B29">
        <w:rPr>
          <w:rFonts w:ascii="Arial" w:hAnsi="Arial" w:cs="Arial"/>
        </w:rPr>
        <w:t xml:space="preserve">: </w:t>
      </w:r>
      <w:r w:rsidR="00ED7FF5" w:rsidRPr="007C7B29">
        <w:rPr>
          <w:rFonts w:ascii="Arial" w:hAnsi="Arial" w:cs="Arial"/>
        </w:rPr>
        <w:t>The Fund recognises that</w:t>
      </w:r>
      <w:r w:rsidR="00686585" w:rsidRPr="007C7B29">
        <w:rPr>
          <w:rFonts w:ascii="Arial" w:hAnsi="Arial" w:cs="Arial"/>
        </w:rPr>
        <w:t xml:space="preserve"> good</w:t>
      </w:r>
      <w:r w:rsidR="00ED7FF5" w:rsidRPr="007C7B29">
        <w:rPr>
          <w:rFonts w:ascii="Arial" w:hAnsi="Arial" w:cs="Arial"/>
        </w:rPr>
        <w:t xml:space="preserve"> governance is a fundamental driver in delivering </w:t>
      </w:r>
      <w:r w:rsidR="00686585" w:rsidRPr="007C7B29">
        <w:rPr>
          <w:rFonts w:ascii="Arial" w:hAnsi="Arial" w:cs="Arial"/>
        </w:rPr>
        <w:t xml:space="preserve">the long term returns </w:t>
      </w:r>
      <w:r w:rsidR="00310C6C" w:rsidRPr="007C7B29">
        <w:rPr>
          <w:rFonts w:ascii="Arial" w:hAnsi="Arial" w:cs="Arial"/>
        </w:rPr>
        <w:t xml:space="preserve">it requires </w:t>
      </w:r>
      <w:r w:rsidR="00686585" w:rsidRPr="007C7B29">
        <w:rPr>
          <w:rFonts w:ascii="Arial" w:hAnsi="Arial" w:cs="Arial"/>
        </w:rPr>
        <w:t>and</w:t>
      </w:r>
      <w:r w:rsidR="00310C6C" w:rsidRPr="007C7B29">
        <w:rPr>
          <w:rFonts w:ascii="Arial" w:hAnsi="Arial" w:cs="Arial"/>
        </w:rPr>
        <w:t xml:space="preserve"> in</w:t>
      </w:r>
      <w:r w:rsidR="00686585" w:rsidRPr="007C7B29">
        <w:rPr>
          <w:rFonts w:ascii="Arial" w:hAnsi="Arial" w:cs="Arial"/>
        </w:rPr>
        <w:t xml:space="preserve"> mitigating risk. </w:t>
      </w:r>
      <w:r w:rsidR="00310C6C" w:rsidRPr="007C7B29">
        <w:rPr>
          <w:rFonts w:ascii="Arial" w:hAnsi="Arial" w:cs="Arial"/>
        </w:rPr>
        <w:t xml:space="preserve">  </w:t>
      </w:r>
      <w:r w:rsidR="00310C6C" w:rsidRPr="007C7B29">
        <w:rPr>
          <w:rFonts w:ascii="Arial" w:hAnsi="Arial" w:cs="Arial"/>
          <w:color w:val="000000"/>
          <w:shd w:val="clear" w:color="auto" w:fill="FFFFFF"/>
        </w:rPr>
        <w:t xml:space="preserve">Businesses that are governed well and run in a sustainable way are more resilient, able to survive shocks and have the potential to provide better financial returns for investors.  As such the Fund </w:t>
      </w:r>
      <w:r w:rsidR="00ED7FF5" w:rsidRPr="007C7B29">
        <w:rPr>
          <w:rFonts w:ascii="Arial" w:hAnsi="Arial" w:cs="Arial"/>
        </w:rPr>
        <w:t xml:space="preserve">is committed to being a responsible owner and believes that responsible investment, incorporating environmental, social and governance (ESG) factors into investment decisions, can help to improve the long term value for </w:t>
      </w:r>
      <w:r w:rsidR="002C5A49" w:rsidRPr="007C7B29">
        <w:rPr>
          <w:rFonts w:ascii="Arial" w:hAnsi="Arial" w:cs="Arial"/>
        </w:rPr>
        <w:t>investors</w:t>
      </w:r>
      <w:r w:rsidR="00ED7FF5" w:rsidRPr="007C7B29">
        <w:rPr>
          <w:rFonts w:ascii="Arial" w:hAnsi="Arial" w:cs="Arial"/>
        </w:rPr>
        <w:t>.</w:t>
      </w:r>
    </w:p>
    <w:p w14:paraId="3F201905" w14:textId="77777777" w:rsidR="00ED7FF5" w:rsidRPr="007C7B29" w:rsidRDefault="00ED7FF5" w:rsidP="00ED7FF5">
      <w:pPr>
        <w:jc w:val="both"/>
        <w:rPr>
          <w:rFonts w:ascii="Arial" w:hAnsi="Arial" w:cs="Arial"/>
        </w:rPr>
      </w:pPr>
    </w:p>
    <w:p w14:paraId="4D6C97E0" w14:textId="77777777" w:rsidR="00DB39AA" w:rsidRPr="007C7B29" w:rsidRDefault="00ED7FF5" w:rsidP="00DB39AA">
      <w:pPr>
        <w:jc w:val="both"/>
        <w:rPr>
          <w:rFonts w:ascii="Arial" w:hAnsi="Arial" w:cs="Arial"/>
        </w:rPr>
      </w:pPr>
      <w:r w:rsidRPr="007C7B29">
        <w:rPr>
          <w:rFonts w:ascii="Arial" w:hAnsi="Arial" w:cs="Arial"/>
        </w:rPr>
        <w:t xml:space="preserve">The Fund believes that the best way to </w:t>
      </w:r>
      <w:r w:rsidR="007B6A33" w:rsidRPr="007C7B29">
        <w:rPr>
          <w:rFonts w:ascii="Arial" w:hAnsi="Arial" w:cs="Arial"/>
        </w:rPr>
        <w:t xml:space="preserve">be a responsible investor and to </w:t>
      </w:r>
      <w:r w:rsidRPr="007C7B29">
        <w:rPr>
          <w:rFonts w:ascii="Arial" w:hAnsi="Arial" w:cs="Arial"/>
        </w:rPr>
        <w:t xml:space="preserve">influence policy change is not through divestment but through active </w:t>
      </w:r>
      <w:r w:rsidR="00686585" w:rsidRPr="007C7B29">
        <w:rPr>
          <w:rFonts w:ascii="Arial" w:hAnsi="Arial" w:cs="Arial"/>
        </w:rPr>
        <w:t>engagement</w:t>
      </w:r>
      <w:r w:rsidRPr="007C7B29">
        <w:rPr>
          <w:rFonts w:ascii="Arial" w:hAnsi="Arial" w:cs="Arial"/>
        </w:rPr>
        <w:t xml:space="preserve">. The Fund would only disinvest if maintaining an investment </w:t>
      </w:r>
      <w:r w:rsidR="00686585" w:rsidRPr="007C7B29">
        <w:rPr>
          <w:rFonts w:ascii="Arial" w:hAnsi="Arial" w:cs="Arial"/>
        </w:rPr>
        <w:t xml:space="preserve">negatively </w:t>
      </w:r>
      <w:r w:rsidRPr="007C7B29">
        <w:rPr>
          <w:rFonts w:ascii="Arial" w:hAnsi="Arial" w:cs="Arial"/>
        </w:rPr>
        <w:t>affected the Fund’s duty to generate investment return.</w:t>
      </w:r>
      <w:r w:rsidR="00686585" w:rsidRPr="007C7B29">
        <w:rPr>
          <w:rFonts w:ascii="Arial" w:hAnsi="Arial" w:cs="Arial"/>
        </w:rPr>
        <w:t xml:space="preserve"> </w:t>
      </w:r>
      <w:r w:rsidR="00DB39AA" w:rsidRPr="007C7B29">
        <w:rPr>
          <w:rFonts w:ascii="Arial" w:hAnsi="Arial" w:cs="Arial"/>
        </w:rPr>
        <w:t>The Fund considers that</w:t>
      </w:r>
      <w:r w:rsidR="00686585" w:rsidRPr="007C7B29">
        <w:rPr>
          <w:rFonts w:ascii="Arial" w:hAnsi="Arial" w:cs="Arial"/>
        </w:rPr>
        <w:t>,</w:t>
      </w:r>
      <w:r w:rsidR="00DB39AA" w:rsidRPr="007C7B29">
        <w:rPr>
          <w:rFonts w:ascii="Arial" w:hAnsi="Arial" w:cs="Arial"/>
        </w:rPr>
        <w:t xml:space="preserve"> by exerting pressure as a</w:t>
      </w:r>
      <w:r w:rsidR="00686585" w:rsidRPr="007C7B29">
        <w:rPr>
          <w:rFonts w:ascii="Arial" w:hAnsi="Arial" w:cs="Arial"/>
        </w:rPr>
        <w:t>n investor</w:t>
      </w:r>
      <w:r w:rsidR="00DB39AA" w:rsidRPr="007C7B29">
        <w:rPr>
          <w:rFonts w:ascii="Arial" w:hAnsi="Arial" w:cs="Arial"/>
        </w:rPr>
        <w:t>, it can bring more influence on companies than it could b</w:t>
      </w:r>
      <w:r w:rsidR="008E3FA2" w:rsidRPr="007C7B29">
        <w:rPr>
          <w:rFonts w:ascii="Arial" w:hAnsi="Arial" w:cs="Arial"/>
        </w:rPr>
        <w:t>y</w:t>
      </w:r>
      <w:r w:rsidR="00DB39AA" w:rsidRPr="007C7B29">
        <w:rPr>
          <w:rFonts w:ascii="Arial" w:hAnsi="Arial" w:cs="Arial"/>
        </w:rPr>
        <w:t xml:space="preserve"> boycotting specific sectors from its investment strategy. Consequently the Fund does not believe that it is appropriate to explicitly divest from any specific sector or invest in any specific sector.</w:t>
      </w:r>
    </w:p>
    <w:p w14:paraId="5A0B5C04" w14:textId="77777777" w:rsidR="00DB39AA" w:rsidRPr="007C7B29" w:rsidRDefault="00DB39AA" w:rsidP="00DB39AA">
      <w:pPr>
        <w:jc w:val="both"/>
        <w:rPr>
          <w:rFonts w:ascii="Arial" w:hAnsi="Arial" w:cs="Arial"/>
        </w:rPr>
      </w:pPr>
    </w:p>
    <w:p w14:paraId="00D5F806" w14:textId="77777777" w:rsidR="00652F72" w:rsidRPr="007C7B29" w:rsidRDefault="009D24D2" w:rsidP="00DB39AA">
      <w:pPr>
        <w:jc w:val="both"/>
        <w:rPr>
          <w:rFonts w:ascii="Arial" w:hAnsi="Arial" w:cs="Arial"/>
        </w:rPr>
      </w:pPr>
      <w:r w:rsidRPr="007C7B29">
        <w:rPr>
          <w:rFonts w:ascii="Arial" w:hAnsi="Arial" w:cs="Arial"/>
          <w:b/>
        </w:rPr>
        <w:t>Examples of w</w:t>
      </w:r>
      <w:r w:rsidR="00014697" w:rsidRPr="007C7B29">
        <w:rPr>
          <w:rFonts w:ascii="Arial" w:hAnsi="Arial" w:cs="Arial"/>
          <w:b/>
        </w:rPr>
        <w:t>hat the Fund is doing as a responsible investor</w:t>
      </w:r>
      <w:r w:rsidR="00014697" w:rsidRPr="007C7B29">
        <w:rPr>
          <w:rFonts w:ascii="Arial" w:hAnsi="Arial" w:cs="Arial"/>
        </w:rPr>
        <w:t xml:space="preserve">: </w:t>
      </w:r>
      <w:r w:rsidR="00DB39AA" w:rsidRPr="007C7B29">
        <w:rPr>
          <w:rFonts w:ascii="Arial" w:hAnsi="Arial" w:cs="Arial"/>
        </w:rPr>
        <w:t>The Fund, through its various proxy voting arrangements, votes on resolutions at AGMs of companies in which it has shareholder voting rights. In doing so, the Fund supports resolutions that promote transparency and disclosure of climate risks and setting emission reduction targets.</w:t>
      </w:r>
      <w:r w:rsidR="00310C6C" w:rsidRPr="007C7B29">
        <w:rPr>
          <w:rFonts w:ascii="Arial" w:hAnsi="Arial" w:cs="Arial"/>
        </w:rPr>
        <w:t xml:space="preserve">  In addition to this the Fund works closely with its pension pool, Border to Coast Pension Partnership Ltd, and partner funds within the pool to ensure that good governance is at the heart of its corporate and investment philosophies</w:t>
      </w:r>
      <w:r w:rsidR="00310C6C" w:rsidRPr="007C7B29">
        <w:rPr>
          <w:rStyle w:val="FootnoteReference"/>
          <w:rFonts w:ascii="Arial" w:hAnsi="Arial" w:cs="Arial"/>
        </w:rPr>
        <w:footnoteReference w:id="1"/>
      </w:r>
      <w:r w:rsidR="00310C6C" w:rsidRPr="007C7B29">
        <w:rPr>
          <w:rFonts w:ascii="Arial" w:hAnsi="Arial" w:cs="Arial"/>
        </w:rPr>
        <w:t xml:space="preserve">.    </w:t>
      </w:r>
    </w:p>
    <w:p w14:paraId="2B98A73E" w14:textId="77777777" w:rsidR="00652F72" w:rsidRPr="007C7B29" w:rsidRDefault="00652F72" w:rsidP="00DB39AA">
      <w:pPr>
        <w:jc w:val="both"/>
        <w:rPr>
          <w:rFonts w:ascii="Arial" w:hAnsi="Arial" w:cs="Arial"/>
        </w:rPr>
      </w:pPr>
      <w:bookmarkStart w:id="0" w:name="_Hlk90293129"/>
    </w:p>
    <w:p w14:paraId="1A54BDAF" w14:textId="6492528E" w:rsidR="009F02F4" w:rsidRPr="007C7B29" w:rsidRDefault="009F02F4" w:rsidP="009F02F4">
      <w:pPr>
        <w:jc w:val="both"/>
        <w:rPr>
          <w:rFonts w:ascii="Arial" w:hAnsi="Arial" w:cs="Arial"/>
        </w:rPr>
      </w:pPr>
      <w:bookmarkStart w:id="1" w:name="_Hlk90283851"/>
      <w:r w:rsidRPr="007C7B29">
        <w:rPr>
          <w:rFonts w:ascii="Arial" w:hAnsi="Arial" w:cs="Arial"/>
        </w:rPr>
        <w:t>As part of its diverse portfolio of investments the Fund is currently invested in a range of infrastructure projects that own and operate energy production and distribution companies. Whilst the primary role</w:t>
      </w:r>
      <w:r w:rsidR="008E3FA2" w:rsidRPr="007C7B29">
        <w:rPr>
          <w:rFonts w:ascii="Arial" w:hAnsi="Arial" w:cs="Arial"/>
        </w:rPr>
        <w:t xml:space="preserve"> of these investments </w:t>
      </w:r>
      <w:r w:rsidRPr="007C7B29">
        <w:rPr>
          <w:rFonts w:ascii="Arial" w:hAnsi="Arial" w:cs="Arial"/>
        </w:rPr>
        <w:t>in the portfolio is to generate return, these target a proportion of green energy production and innovation as good long-term, sustainable investments. These include onshore</w:t>
      </w:r>
      <w:r w:rsidR="00CF669E">
        <w:rPr>
          <w:rFonts w:ascii="Arial" w:hAnsi="Arial" w:cs="Arial"/>
        </w:rPr>
        <w:t xml:space="preserve"> and offshore</w:t>
      </w:r>
      <w:r w:rsidRPr="007C7B29">
        <w:rPr>
          <w:rFonts w:ascii="Arial" w:hAnsi="Arial" w:cs="Arial"/>
        </w:rPr>
        <w:t xml:space="preserve"> wind farms in the UK, </w:t>
      </w:r>
      <w:r w:rsidR="00CF669E">
        <w:rPr>
          <w:rFonts w:ascii="Arial" w:hAnsi="Arial" w:cs="Arial"/>
        </w:rPr>
        <w:t xml:space="preserve">together with windfarms in </w:t>
      </w:r>
      <w:r w:rsidRPr="007C7B29">
        <w:rPr>
          <w:rFonts w:ascii="Arial" w:hAnsi="Arial" w:cs="Arial"/>
        </w:rPr>
        <w:t>mainland Europe</w:t>
      </w:r>
      <w:r w:rsidR="00CF669E">
        <w:rPr>
          <w:rFonts w:ascii="Arial" w:hAnsi="Arial" w:cs="Arial"/>
        </w:rPr>
        <w:t>, the US and Latin America, so</w:t>
      </w:r>
      <w:r w:rsidRPr="007C7B29">
        <w:rPr>
          <w:rFonts w:ascii="Arial" w:hAnsi="Arial" w:cs="Arial"/>
        </w:rPr>
        <w:t xml:space="preserve">lar power and battery storage projects in </w:t>
      </w:r>
      <w:r w:rsidR="00CF669E">
        <w:rPr>
          <w:rFonts w:ascii="Arial" w:hAnsi="Arial" w:cs="Arial"/>
        </w:rPr>
        <w:t>the US, Latin America and Japan, biomass processing in the UK</w:t>
      </w:r>
      <w:r w:rsidRPr="007C7B29">
        <w:rPr>
          <w:rFonts w:ascii="Arial" w:hAnsi="Arial" w:cs="Arial"/>
        </w:rPr>
        <w:t xml:space="preserve"> and hydropower plants in Norway</w:t>
      </w:r>
      <w:bookmarkEnd w:id="1"/>
      <w:r w:rsidRPr="007C7B29">
        <w:rPr>
          <w:rFonts w:ascii="Arial" w:hAnsi="Arial" w:cs="Arial"/>
        </w:rPr>
        <w:t>.</w:t>
      </w:r>
    </w:p>
    <w:bookmarkEnd w:id="0"/>
    <w:p w14:paraId="3FFD9E7B" w14:textId="77777777" w:rsidR="00686585" w:rsidRPr="007C7B29" w:rsidRDefault="00686585" w:rsidP="009F02F4">
      <w:pPr>
        <w:jc w:val="both"/>
        <w:rPr>
          <w:rFonts w:ascii="Arial" w:hAnsi="Arial" w:cs="Arial"/>
        </w:rPr>
      </w:pPr>
    </w:p>
    <w:p w14:paraId="7FB5A3D7" w14:textId="06056AC6" w:rsidR="00686585" w:rsidRPr="007C7B29" w:rsidRDefault="00014697" w:rsidP="009D24D2">
      <w:pPr>
        <w:jc w:val="both"/>
        <w:rPr>
          <w:rFonts w:ascii="Arial" w:hAnsi="Arial" w:cs="Arial"/>
        </w:rPr>
      </w:pPr>
      <w:r w:rsidRPr="007C7B29">
        <w:rPr>
          <w:rFonts w:ascii="Arial" w:hAnsi="Arial" w:cs="Arial"/>
        </w:rPr>
        <w:t xml:space="preserve">In addition to this the Fund </w:t>
      </w:r>
      <w:r w:rsidR="001E04B0">
        <w:rPr>
          <w:rFonts w:ascii="Arial" w:hAnsi="Arial" w:cs="Arial"/>
        </w:rPr>
        <w:t>wa</w:t>
      </w:r>
      <w:r w:rsidR="00686585" w:rsidRPr="007C7B29">
        <w:rPr>
          <w:rFonts w:ascii="Arial" w:hAnsi="Arial" w:cs="Arial"/>
        </w:rPr>
        <w:t xml:space="preserve">s a Tier 1 signatory to the </w:t>
      </w:r>
      <w:r w:rsidR="001E04B0">
        <w:rPr>
          <w:rFonts w:ascii="Arial" w:hAnsi="Arial" w:cs="Arial"/>
        </w:rPr>
        <w:t xml:space="preserve">2012 </w:t>
      </w:r>
      <w:r w:rsidR="00686585" w:rsidRPr="007C7B29">
        <w:rPr>
          <w:rFonts w:ascii="Arial" w:hAnsi="Arial" w:cs="Arial"/>
        </w:rPr>
        <w:t>UK Stewardship Code</w:t>
      </w:r>
      <w:r w:rsidR="00914BA4" w:rsidRPr="007C7B29">
        <w:rPr>
          <w:rStyle w:val="FootnoteReference"/>
          <w:rFonts w:ascii="Arial" w:hAnsi="Arial" w:cs="Arial"/>
        </w:rPr>
        <w:footnoteReference w:id="2"/>
      </w:r>
      <w:r w:rsidR="001E04B0">
        <w:rPr>
          <w:rFonts w:ascii="Arial" w:hAnsi="Arial" w:cs="Arial"/>
        </w:rPr>
        <w:t xml:space="preserve"> and has applied to become a signatory of the revised </w:t>
      </w:r>
      <w:r w:rsidR="00924820">
        <w:rPr>
          <w:rFonts w:ascii="Arial" w:hAnsi="Arial" w:cs="Arial"/>
        </w:rPr>
        <w:t xml:space="preserve">2020 </w:t>
      </w:r>
      <w:r w:rsidR="001E04B0">
        <w:rPr>
          <w:rFonts w:ascii="Arial" w:hAnsi="Arial" w:cs="Arial"/>
        </w:rPr>
        <w:t>UK Stewardship Code. The Fund’s</w:t>
      </w:r>
      <w:r w:rsidR="00686585" w:rsidRPr="007C7B29">
        <w:rPr>
          <w:rFonts w:ascii="Arial" w:hAnsi="Arial" w:cs="Arial"/>
        </w:rPr>
        <w:t xml:space="preserve"> Stewardship </w:t>
      </w:r>
      <w:r w:rsidR="001E04B0">
        <w:rPr>
          <w:rFonts w:ascii="Arial" w:hAnsi="Arial" w:cs="Arial"/>
        </w:rPr>
        <w:t>Report is published on its website</w:t>
      </w:r>
      <w:r w:rsidR="001E04B0">
        <w:rPr>
          <w:rStyle w:val="FootnoteReference"/>
          <w:rFonts w:ascii="Arial" w:hAnsi="Arial" w:cs="Arial"/>
        </w:rPr>
        <w:footnoteReference w:id="3"/>
      </w:r>
      <w:r w:rsidR="001E04B0">
        <w:rPr>
          <w:rFonts w:ascii="Arial" w:hAnsi="Arial" w:cs="Arial"/>
        </w:rPr>
        <w:t xml:space="preserve"> as well as forming part of its</w:t>
      </w:r>
      <w:r w:rsidR="00686585" w:rsidRPr="007C7B29">
        <w:rPr>
          <w:rFonts w:ascii="Arial" w:hAnsi="Arial" w:cs="Arial"/>
        </w:rPr>
        <w:t xml:space="preserve"> Annual Report and Accounts</w:t>
      </w:r>
      <w:r w:rsidRPr="007C7B29">
        <w:rPr>
          <w:rFonts w:ascii="Arial" w:hAnsi="Arial" w:cs="Arial"/>
        </w:rPr>
        <w:t xml:space="preserve">.  </w:t>
      </w:r>
    </w:p>
    <w:p w14:paraId="765B7ED1" w14:textId="77777777" w:rsidR="00014697" w:rsidRPr="007C7B29" w:rsidRDefault="00014697" w:rsidP="007C7B29">
      <w:pPr>
        <w:jc w:val="both"/>
        <w:rPr>
          <w:rFonts w:ascii="Arial" w:hAnsi="Arial" w:cs="Arial"/>
        </w:rPr>
      </w:pPr>
    </w:p>
    <w:p w14:paraId="2F1D00C0" w14:textId="77777777" w:rsidR="009D24D2" w:rsidRPr="007C7B29" w:rsidRDefault="00014697" w:rsidP="009D24D2">
      <w:pPr>
        <w:spacing w:after="120"/>
        <w:jc w:val="both"/>
        <w:rPr>
          <w:rFonts w:ascii="Arial" w:hAnsi="Arial" w:cs="Arial"/>
        </w:rPr>
      </w:pPr>
      <w:r w:rsidRPr="007C7B29">
        <w:rPr>
          <w:rFonts w:ascii="Arial" w:hAnsi="Arial" w:cs="Arial"/>
        </w:rPr>
        <w:t>The Fund is</w:t>
      </w:r>
      <w:r w:rsidR="00686585" w:rsidRPr="007C7B29">
        <w:rPr>
          <w:rFonts w:ascii="Arial" w:hAnsi="Arial" w:cs="Arial"/>
        </w:rPr>
        <w:t xml:space="preserve"> also a member of the Local Authority Pension Fund Forum</w:t>
      </w:r>
      <w:r w:rsidR="00914BA4" w:rsidRPr="007C7B29">
        <w:rPr>
          <w:rStyle w:val="FootnoteReference"/>
          <w:rFonts w:ascii="Arial" w:hAnsi="Arial" w:cs="Arial"/>
        </w:rPr>
        <w:footnoteReference w:id="4"/>
      </w:r>
      <w:r w:rsidR="00686585" w:rsidRPr="007C7B29">
        <w:rPr>
          <w:rFonts w:ascii="Arial" w:hAnsi="Arial" w:cs="Arial"/>
        </w:rPr>
        <w:t xml:space="preserve"> (LAPFF) which uses its collective presence in the market to progress matters of corporate governance in the companies owned by its member funds.</w:t>
      </w:r>
    </w:p>
    <w:sectPr w:rsidR="009D24D2" w:rsidRPr="007C7B29" w:rsidSect="00BD448E">
      <w:headerReference w:type="default" r:id="rId8"/>
      <w:footerReference w:type="default" r:id="rId9"/>
      <w:pgSz w:w="11906" w:h="16838"/>
      <w:pgMar w:top="851"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C559" w14:textId="77777777" w:rsidR="009B0728" w:rsidRDefault="009B0728" w:rsidP="00310C6C">
      <w:r>
        <w:separator/>
      </w:r>
    </w:p>
  </w:endnote>
  <w:endnote w:type="continuationSeparator" w:id="0">
    <w:p w14:paraId="2F19F470" w14:textId="77777777" w:rsidR="009B0728" w:rsidRDefault="009B0728" w:rsidP="0031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200906"/>
      <w:docPartObj>
        <w:docPartGallery w:val="Page Numbers (Bottom of Page)"/>
        <w:docPartUnique/>
      </w:docPartObj>
    </w:sdtPr>
    <w:sdtEndPr/>
    <w:sdtContent>
      <w:sdt>
        <w:sdtPr>
          <w:id w:val="1728636285"/>
          <w:docPartObj>
            <w:docPartGallery w:val="Page Numbers (Top of Page)"/>
            <w:docPartUnique/>
          </w:docPartObj>
        </w:sdtPr>
        <w:sdtEndPr/>
        <w:sdtContent>
          <w:p w14:paraId="0C13F124" w14:textId="77777777" w:rsidR="00246CB5" w:rsidRDefault="00246C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20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0DB">
              <w:rPr>
                <w:b/>
                <w:bCs/>
                <w:noProof/>
              </w:rPr>
              <w:t>1</w:t>
            </w:r>
            <w:r>
              <w:rPr>
                <w:b/>
                <w:bCs/>
                <w:sz w:val="24"/>
                <w:szCs w:val="24"/>
              </w:rPr>
              <w:fldChar w:fldCharType="end"/>
            </w:r>
          </w:p>
        </w:sdtContent>
      </w:sdt>
    </w:sdtContent>
  </w:sdt>
  <w:p w14:paraId="7416B835" w14:textId="77777777" w:rsidR="00246CB5" w:rsidRDefault="0024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A379" w14:textId="77777777" w:rsidR="009B0728" w:rsidRDefault="009B0728" w:rsidP="00310C6C">
      <w:r>
        <w:separator/>
      </w:r>
    </w:p>
  </w:footnote>
  <w:footnote w:type="continuationSeparator" w:id="0">
    <w:p w14:paraId="585E4647" w14:textId="77777777" w:rsidR="009B0728" w:rsidRDefault="009B0728" w:rsidP="00310C6C">
      <w:r>
        <w:continuationSeparator/>
      </w:r>
    </w:p>
  </w:footnote>
  <w:footnote w:id="1">
    <w:p w14:paraId="1D3C49BC" w14:textId="77777777" w:rsidR="00310C6C" w:rsidRDefault="00310C6C">
      <w:pPr>
        <w:pStyle w:val="FootnoteText"/>
      </w:pPr>
      <w:r>
        <w:rPr>
          <w:rStyle w:val="FootnoteReference"/>
        </w:rPr>
        <w:footnoteRef/>
      </w:r>
      <w:r>
        <w:t xml:space="preserve"> </w:t>
      </w:r>
      <w:hyperlink r:id="rId1" w:history="1">
        <w:r>
          <w:rPr>
            <w:rStyle w:val="Hyperlink"/>
          </w:rPr>
          <w:t>https://www.bordertocoast.org.uk/sustainability/</w:t>
        </w:r>
      </w:hyperlink>
    </w:p>
  </w:footnote>
  <w:footnote w:id="2">
    <w:p w14:paraId="2CE57E66" w14:textId="77777777" w:rsidR="00914BA4" w:rsidRDefault="00914BA4">
      <w:pPr>
        <w:pStyle w:val="FootnoteText"/>
      </w:pPr>
      <w:r>
        <w:rPr>
          <w:rStyle w:val="FootnoteReference"/>
        </w:rPr>
        <w:footnoteRef/>
      </w:r>
      <w:r>
        <w:t xml:space="preserve"> </w:t>
      </w:r>
      <w:hyperlink r:id="rId2" w:history="1">
        <w:r>
          <w:rPr>
            <w:rStyle w:val="Hyperlink"/>
          </w:rPr>
          <w:t>https://www.frc.org.uk/investors/uk-stewardship-code</w:t>
        </w:r>
      </w:hyperlink>
    </w:p>
  </w:footnote>
  <w:footnote w:id="3">
    <w:p w14:paraId="7E34B4C7" w14:textId="2254A4CA" w:rsidR="001E04B0" w:rsidRDefault="001E04B0">
      <w:pPr>
        <w:pStyle w:val="FootnoteText"/>
      </w:pPr>
      <w:r>
        <w:rPr>
          <w:rStyle w:val="FootnoteReference"/>
        </w:rPr>
        <w:footnoteRef/>
      </w:r>
      <w:r>
        <w:t xml:space="preserve"> </w:t>
      </w:r>
      <w:hyperlink r:id="rId3" w:history="1">
        <w:r w:rsidRPr="009D2A21">
          <w:rPr>
            <w:rStyle w:val="Hyperlink"/>
          </w:rPr>
          <w:t>https://www.cumbria.gov.uk/elibrary/Content/Internet/536/654/1129/17170/17664/44530132544.pdf</w:t>
        </w:r>
      </w:hyperlink>
      <w:r>
        <w:t xml:space="preserve"> </w:t>
      </w:r>
    </w:p>
  </w:footnote>
  <w:footnote w:id="4">
    <w:p w14:paraId="512250F1" w14:textId="77777777" w:rsidR="00914BA4" w:rsidRDefault="00914BA4">
      <w:pPr>
        <w:pStyle w:val="FootnoteText"/>
      </w:pPr>
      <w:r>
        <w:rPr>
          <w:rStyle w:val="FootnoteReference"/>
        </w:rPr>
        <w:footnoteRef/>
      </w:r>
      <w:r>
        <w:t xml:space="preserve"> </w:t>
      </w:r>
      <w:hyperlink r:id="rId4" w:history="1">
        <w:r>
          <w:rPr>
            <w:rStyle w:val="Hyperlink"/>
          </w:rPr>
          <w:t>http://www.lapfforum.org/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6642" w14:textId="77777777" w:rsidR="001B2175" w:rsidRDefault="001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F67C7"/>
    <w:multiLevelType w:val="multilevel"/>
    <w:tmpl w:val="EF02D8BC"/>
    <w:lvl w:ilvl="0">
      <w:start w:val="1"/>
      <w:numFmt w:val="decimal"/>
      <w:lvlRestart w:val="0"/>
      <w:isLgl/>
      <w:lvlText w:val="%1"/>
      <w:lvlJc w:val="left"/>
      <w:pPr>
        <w:tabs>
          <w:tab w:val="num" w:pos="567"/>
        </w:tabs>
        <w:ind w:left="567" w:hanging="567"/>
      </w:pPr>
      <w:rPr>
        <w:rFonts w:hint="default"/>
        <w:b/>
        <w:i w:val="0"/>
        <w:sz w:val="24"/>
        <w:szCs w:val="24"/>
      </w:rPr>
    </w:lvl>
    <w:lvl w:ilvl="1">
      <w:start w:val="1"/>
      <w:numFmt w:val="bullet"/>
      <w:lvlText w:val=""/>
      <w:lvlJc w:val="left"/>
      <w:pPr>
        <w:tabs>
          <w:tab w:val="num" w:pos="567"/>
        </w:tabs>
        <w:ind w:left="0" w:firstLine="0"/>
      </w:pPr>
      <w:rPr>
        <w:rFonts w:ascii="Symbol" w:hAnsi="Symbol" w:hint="default"/>
        <w:b w:val="0"/>
        <w:i w:val="0"/>
        <w:color w:val="auto"/>
        <w:sz w:val="24"/>
        <w:szCs w:val="24"/>
      </w:rPr>
    </w:lvl>
    <w:lvl w:ilvl="2">
      <w:start w:val="1"/>
      <w:numFmt w:val="decimal"/>
      <w:lvlText w:val="%1.%2.%3"/>
      <w:lvlJc w:val="left"/>
      <w:pPr>
        <w:tabs>
          <w:tab w:val="num" w:pos="567"/>
        </w:tabs>
        <w:ind w:left="567" w:hanging="567"/>
      </w:pPr>
      <w:rPr>
        <w:rFonts w:hint="default"/>
        <w:sz w:val="24"/>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72"/>
    <w:rsid w:val="00014697"/>
    <w:rsid w:val="00184A47"/>
    <w:rsid w:val="001B2175"/>
    <w:rsid w:val="001D35A8"/>
    <w:rsid w:val="001E04B0"/>
    <w:rsid w:val="00246CB5"/>
    <w:rsid w:val="00262C28"/>
    <w:rsid w:val="002B776E"/>
    <w:rsid w:val="002C5A49"/>
    <w:rsid w:val="00310C6C"/>
    <w:rsid w:val="00354C41"/>
    <w:rsid w:val="00405A6E"/>
    <w:rsid w:val="00652F72"/>
    <w:rsid w:val="00686585"/>
    <w:rsid w:val="007B6A33"/>
    <w:rsid w:val="007C7B29"/>
    <w:rsid w:val="00843DAA"/>
    <w:rsid w:val="008E3FA2"/>
    <w:rsid w:val="00914BA4"/>
    <w:rsid w:val="00924820"/>
    <w:rsid w:val="009B0728"/>
    <w:rsid w:val="009C6720"/>
    <w:rsid w:val="009D24D2"/>
    <w:rsid w:val="009F02F4"/>
    <w:rsid w:val="00A039D8"/>
    <w:rsid w:val="00BD448E"/>
    <w:rsid w:val="00C42AD0"/>
    <w:rsid w:val="00CF669E"/>
    <w:rsid w:val="00D5456F"/>
    <w:rsid w:val="00DB39AA"/>
    <w:rsid w:val="00DF5386"/>
    <w:rsid w:val="00E26BC3"/>
    <w:rsid w:val="00EC66BA"/>
    <w:rsid w:val="00ED7FF5"/>
    <w:rsid w:val="00F57F70"/>
    <w:rsid w:val="00FC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37434"/>
  <w15:chartTrackingRefBased/>
  <w15:docId w15:val="{70743AE3-5C71-4751-BC78-F4BEA66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7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0"/>
    <w:basedOn w:val="Normal"/>
    <w:uiPriority w:val="34"/>
    <w:qFormat/>
    <w:rsid w:val="009F02F4"/>
    <w:pPr>
      <w:spacing w:after="200" w:line="276" w:lineRule="auto"/>
      <w:ind w:left="720" w:hanging="357"/>
      <w:contextualSpacing/>
      <w:jc w:val="both"/>
    </w:pPr>
    <w:rPr>
      <w:rFonts w:eastAsia="Times New Roman" w:cs="Times New Roman"/>
      <w:lang w:eastAsia="en-US"/>
    </w:rPr>
  </w:style>
  <w:style w:type="paragraph" w:styleId="BalloonText">
    <w:name w:val="Balloon Text"/>
    <w:basedOn w:val="Normal"/>
    <w:link w:val="BalloonTextChar"/>
    <w:uiPriority w:val="99"/>
    <w:semiHidden/>
    <w:unhideWhenUsed/>
    <w:rsid w:val="00ED7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F5"/>
    <w:rPr>
      <w:rFonts w:ascii="Segoe UI" w:hAnsi="Segoe UI" w:cs="Segoe UI"/>
      <w:sz w:val="18"/>
      <w:szCs w:val="18"/>
      <w:lang w:eastAsia="en-GB"/>
    </w:rPr>
  </w:style>
  <w:style w:type="character" w:styleId="Hyperlink">
    <w:name w:val="Hyperlink"/>
    <w:basedOn w:val="DefaultParagraphFont"/>
    <w:uiPriority w:val="99"/>
    <w:unhideWhenUsed/>
    <w:rsid w:val="00310C6C"/>
    <w:rPr>
      <w:color w:val="0000FF"/>
      <w:u w:val="single"/>
    </w:rPr>
  </w:style>
  <w:style w:type="paragraph" w:styleId="FootnoteText">
    <w:name w:val="footnote text"/>
    <w:basedOn w:val="Normal"/>
    <w:link w:val="FootnoteTextChar"/>
    <w:uiPriority w:val="99"/>
    <w:semiHidden/>
    <w:unhideWhenUsed/>
    <w:rsid w:val="00310C6C"/>
    <w:rPr>
      <w:sz w:val="20"/>
      <w:szCs w:val="20"/>
    </w:rPr>
  </w:style>
  <w:style w:type="character" w:customStyle="1" w:styleId="FootnoteTextChar">
    <w:name w:val="Footnote Text Char"/>
    <w:basedOn w:val="DefaultParagraphFont"/>
    <w:link w:val="FootnoteText"/>
    <w:uiPriority w:val="99"/>
    <w:semiHidden/>
    <w:rsid w:val="00310C6C"/>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10C6C"/>
    <w:rPr>
      <w:vertAlign w:val="superscript"/>
    </w:rPr>
  </w:style>
  <w:style w:type="paragraph" w:styleId="Header">
    <w:name w:val="header"/>
    <w:basedOn w:val="Normal"/>
    <w:link w:val="HeaderChar"/>
    <w:uiPriority w:val="99"/>
    <w:unhideWhenUsed/>
    <w:rsid w:val="00246CB5"/>
    <w:pPr>
      <w:tabs>
        <w:tab w:val="center" w:pos="4513"/>
        <w:tab w:val="right" w:pos="9026"/>
      </w:tabs>
    </w:pPr>
  </w:style>
  <w:style w:type="character" w:customStyle="1" w:styleId="HeaderChar">
    <w:name w:val="Header Char"/>
    <w:basedOn w:val="DefaultParagraphFont"/>
    <w:link w:val="Header"/>
    <w:uiPriority w:val="99"/>
    <w:rsid w:val="00246CB5"/>
    <w:rPr>
      <w:rFonts w:ascii="Calibri" w:hAnsi="Calibri" w:cs="Calibri"/>
      <w:lang w:eastAsia="en-GB"/>
    </w:rPr>
  </w:style>
  <w:style w:type="paragraph" w:styleId="Footer">
    <w:name w:val="footer"/>
    <w:basedOn w:val="Normal"/>
    <w:link w:val="FooterChar"/>
    <w:uiPriority w:val="99"/>
    <w:unhideWhenUsed/>
    <w:rsid w:val="00246CB5"/>
    <w:pPr>
      <w:tabs>
        <w:tab w:val="center" w:pos="4513"/>
        <w:tab w:val="right" w:pos="9026"/>
      </w:tabs>
    </w:pPr>
  </w:style>
  <w:style w:type="character" w:customStyle="1" w:styleId="FooterChar">
    <w:name w:val="Footer Char"/>
    <w:basedOn w:val="DefaultParagraphFont"/>
    <w:link w:val="Footer"/>
    <w:uiPriority w:val="99"/>
    <w:rsid w:val="00246CB5"/>
    <w:rPr>
      <w:rFonts w:ascii="Calibri" w:hAnsi="Calibri" w:cs="Calibri"/>
      <w:lang w:eastAsia="en-GB"/>
    </w:rPr>
  </w:style>
  <w:style w:type="character" w:styleId="FollowedHyperlink">
    <w:name w:val="FollowedHyperlink"/>
    <w:basedOn w:val="DefaultParagraphFont"/>
    <w:uiPriority w:val="99"/>
    <w:semiHidden/>
    <w:unhideWhenUsed/>
    <w:rsid w:val="001E04B0"/>
    <w:rPr>
      <w:color w:val="954F72" w:themeColor="followedHyperlink"/>
      <w:u w:val="single"/>
    </w:rPr>
  </w:style>
  <w:style w:type="character" w:styleId="UnresolvedMention">
    <w:name w:val="Unresolved Mention"/>
    <w:basedOn w:val="DefaultParagraphFont"/>
    <w:uiPriority w:val="99"/>
    <w:semiHidden/>
    <w:unhideWhenUsed/>
    <w:rsid w:val="001E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umbria.gov.uk/elibrary/Content/Internet/536/654/1129/17170/17664/44530132544.pdf" TargetMode="External"/><Relationship Id="rId2" Type="http://schemas.openxmlformats.org/officeDocument/2006/relationships/hyperlink" Target="https://www.frc.org.uk/investors/uk-stewardship-code" TargetMode="External"/><Relationship Id="rId1" Type="http://schemas.openxmlformats.org/officeDocument/2006/relationships/hyperlink" Target="https://www.bordertocoast.org.uk/sustainability/" TargetMode="External"/><Relationship Id="rId4" Type="http://schemas.openxmlformats.org/officeDocument/2006/relationships/hyperlink" Target="http://www.lapf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8D95-07C6-497B-BA7A-845FE8B4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Peter</dc:creator>
  <cp:keywords/>
  <dc:description/>
  <cp:lastModifiedBy>Taylor, Lucy A</cp:lastModifiedBy>
  <cp:revision>9</cp:revision>
  <cp:lastPrinted>2021-12-13T14:21:00Z</cp:lastPrinted>
  <dcterms:created xsi:type="dcterms:W3CDTF">2021-12-13T10:11:00Z</dcterms:created>
  <dcterms:modified xsi:type="dcterms:W3CDTF">2021-12-13T14:21:00Z</dcterms:modified>
</cp:coreProperties>
</file>